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tabs>
          <w:tab w:val="left" w:pos="3615"/>
        </w:tabs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</w:t>
      </w:r>
      <w:r>
        <w:rPr>
          <w:rFonts w:ascii="Times New Roman" w:eastAsia="Times New Roman" w:hAnsi="Times New Roman" w:cs="Times New Roman"/>
          <w:sz w:val="28"/>
          <w:szCs w:val="28"/>
        </w:rPr>
        <w:t>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Ортикова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Эсаналиевича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выявленных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жилищным инспектором отдела муниципального жилищного контроля контрольного управления Администрации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Сальниковым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Ортиков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Ортикова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Д.Э.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8 ГК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8"/>
          <w:szCs w:val="28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Ортикова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выявленных нарушений обязательных требований, вынесенное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жилищным инспектором отдела муниципального жилищного контроля контрольного управления Администрации </w:t>
      </w:r>
      <w:r>
        <w:rPr>
          <w:rStyle w:val="cat-Addressgrp-0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Сальниковым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eastAsia="Times New Roman" w:hAnsi="Times New Roman" w:cs="Times New Roman"/>
          <w:sz w:val="28"/>
          <w:szCs w:val="28"/>
        </w:rPr>
        <w:t>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>
        <w:rPr>
          <w:rFonts w:ascii="Times New Roman" w:eastAsia="Times New Roman" w:hAnsi="Times New Roman" w:cs="Times New Roman"/>
          <w:sz w:val="28"/>
          <w:szCs w:val="28"/>
        </w:rPr>
        <w:t>.2024 о проведении выездного обследования;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выдаче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№ </w:t>
      </w:r>
      <w:r>
        <w:rPr>
          <w:rFonts w:ascii="Times New Roman" w:eastAsia="Times New Roman" w:hAnsi="Times New Roman" w:cs="Times New Roman"/>
          <w:sz w:val="28"/>
          <w:szCs w:val="28"/>
        </w:rPr>
        <w:t>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на проведение выездного обследования;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№ 70-22з на право использования частью земельного участка с дополнительными соглашениями;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ЕГРИП;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ЕГРН об объекте недвижимости;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задания № 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выездного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выездного обследования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Ортикова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Д.Э.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OrganizationNamegrp-24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Ортикова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Дилшода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Эсаналиевича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рублей, оплачиваемого 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048</w:t>
      </w:r>
      <w:r>
        <w:rPr>
          <w:rFonts w:ascii="Times New Roman" w:eastAsia="Times New Roman" w:hAnsi="Times New Roman" w:cs="Times New Roman"/>
          <w:sz w:val="28"/>
          <w:szCs w:val="28"/>
        </w:rPr>
        <w:t>73031020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04011601194010000140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03200631000000000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464163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Административная комиссия.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>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07625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Addressgrp-0rplc-25">
    <w:name w:val="cat-Address grp-0 rplc-25"/>
    <w:basedOn w:val="DefaultParagraphFont"/>
  </w:style>
  <w:style w:type="character" w:customStyle="1" w:styleId="cat-OrganizationNamegrp-24rplc-32">
    <w:name w:val="cat-OrganizationName grp-24 rplc-32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2C6F-7305-4414-97B6-AB86158CA4B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